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1" w:rsidRDefault="00C270D1" w:rsidP="00C270D1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C270D1" w:rsidRDefault="00C270D1" w:rsidP="00C270D1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dotyczy cyklu kształcenia  </w:t>
      </w:r>
      <w:r>
        <w:rPr>
          <w:rFonts w:ascii="Times New Roman" w:hAnsi="Times New Roman"/>
          <w:smallCaps/>
          <w:sz w:val="24"/>
          <w:szCs w:val="24"/>
        </w:rPr>
        <w:t>od 2016/17 do 2017/18</w:t>
      </w:r>
    </w:p>
    <w:p w:rsidR="00C270D1" w:rsidRDefault="00C270D1" w:rsidP="00C270D1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270D1" w:rsidRDefault="00C270D1" w:rsidP="00C270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70D1" w:rsidRDefault="00C270D1" w:rsidP="00C270D1">
      <w:pPr>
        <w:pStyle w:val="Punktygwne"/>
        <w:numPr>
          <w:ilvl w:val="1"/>
          <w:numId w:val="1"/>
        </w:numPr>
        <w:spacing w:before="0" w:after="0"/>
        <w:rPr>
          <w:color w:val="0070C0"/>
          <w:szCs w:val="24"/>
        </w:rPr>
      </w:pPr>
      <w:r>
        <w:rPr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Bezpieczeństwo systemu finansowego państwa    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PRA67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Rok II, semestr III 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Specjalizacyjny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Dr hab. Elżbieta Feret, prof. </w:t>
            </w:r>
            <w:proofErr w:type="spellStart"/>
            <w:r>
              <w:rPr>
                <w:b w:val="0"/>
                <w:color w:val="auto"/>
                <w:sz w:val="24"/>
                <w:szCs w:val="24"/>
              </w:rPr>
              <w:t>nadzw</w:t>
            </w:r>
            <w:proofErr w:type="spellEnd"/>
            <w:r>
              <w:rPr>
                <w:b w:val="0"/>
                <w:color w:val="auto"/>
                <w:sz w:val="24"/>
                <w:szCs w:val="24"/>
              </w:rPr>
              <w:t>. UR</w:t>
            </w:r>
          </w:p>
        </w:tc>
      </w:tr>
      <w:tr w:rsidR="00C270D1" w:rsidTr="00C270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ytania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Dr hab. Elżbieta Feret, prof. </w:t>
            </w:r>
            <w:proofErr w:type="spellStart"/>
            <w:r>
              <w:rPr>
                <w:b w:val="0"/>
                <w:color w:val="auto"/>
                <w:sz w:val="24"/>
                <w:szCs w:val="24"/>
              </w:rPr>
              <w:t>nadzw</w:t>
            </w:r>
            <w:proofErr w:type="spellEnd"/>
            <w:r>
              <w:rPr>
                <w:b w:val="0"/>
                <w:color w:val="auto"/>
                <w:sz w:val="24"/>
                <w:szCs w:val="24"/>
              </w:rPr>
              <w:t>. UR</w:t>
            </w:r>
          </w:p>
        </w:tc>
      </w:tr>
    </w:tbl>
    <w:p w:rsidR="00C270D1" w:rsidRDefault="00C270D1" w:rsidP="00C270D1">
      <w:pPr>
        <w:pStyle w:val="Podpunkty"/>
        <w:ind w:left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>
        <w:rPr>
          <w:i/>
          <w:sz w:val="24"/>
          <w:szCs w:val="24"/>
        </w:rPr>
        <w:t xml:space="preserve">- </w:t>
      </w:r>
      <w:r>
        <w:rPr>
          <w:b w:val="0"/>
          <w:i/>
          <w:sz w:val="24"/>
          <w:szCs w:val="24"/>
        </w:rPr>
        <w:t>zgodnie z ustaleniami na wydziale</w:t>
      </w:r>
    </w:p>
    <w:p w:rsidR="00C270D1" w:rsidRDefault="00C270D1" w:rsidP="00C270D1">
      <w:pPr>
        <w:pStyle w:val="Podpunkty"/>
        <w:ind w:left="0"/>
        <w:rPr>
          <w:sz w:val="24"/>
          <w:szCs w:val="24"/>
        </w:rPr>
      </w:pPr>
    </w:p>
    <w:p w:rsidR="00C270D1" w:rsidRDefault="00C270D1" w:rsidP="00C270D1">
      <w:pPr>
        <w:pStyle w:val="Podpunkty"/>
        <w:ind w:left="0"/>
        <w:rPr>
          <w:sz w:val="24"/>
          <w:szCs w:val="24"/>
        </w:rPr>
      </w:pPr>
      <w:r>
        <w:rPr>
          <w:sz w:val="24"/>
          <w:szCs w:val="24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809"/>
        <w:gridCol w:w="863"/>
        <w:gridCol w:w="814"/>
        <w:gridCol w:w="824"/>
        <w:gridCol w:w="787"/>
        <w:gridCol w:w="955"/>
        <w:gridCol w:w="1403"/>
        <w:gridCol w:w="1902"/>
      </w:tblGrid>
      <w:tr w:rsidR="00C270D1" w:rsidTr="00C270D1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proofErr w:type="spellStart"/>
            <w:r>
              <w:rPr>
                <w:szCs w:val="24"/>
                <w:lang w:val="pl-PL" w:eastAsia="en-US"/>
              </w:rPr>
              <w:t>Wykł</w:t>
            </w:r>
            <w:proofErr w:type="spellEnd"/>
            <w:r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proofErr w:type="spellStart"/>
            <w:r>
              <w:rPr>
                <w:szCs w:val="24"/>
                <w:lang w:val="pl-PL" w:eastAsia="en-US"/>
              </w:rPr>
              <w:t>Konw</w:t>
            </w:r>
            <w:proofErr w:type="spellEnd"/>
            <w:r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proofErr w:type="spellStart"/>
            <w:r>
              <w:rPr>
                <w:szCs w:val="24"/>
                <w:lang w:val="pl-PL" w:eastAsia="en-US"/>
              </w:rPr>
              <w:t>Sem</w:t>
            </w:r>
            <w:proofErr w:type="spellEnd"/>
            <w:r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r>
              <w:rPr>
                <w:szCs w:val="24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Cs w:val="24"/>
                <w:lang w:val="pl-PL" w:eastAsia="en-US"/>
              </w:rPr>
            </w:pPr>
            <w:proofErr w:type="spellStart"/>
            <w:r>
              <w:rPr>
                <w:szCs w:val="24"/>
                <w:lang w:val="pl-PL" w:eastAsia="en-US"/>
              </w:rPr>
              <w:t>Prakt</w:t>
            </w:r>
            <w:proofErr w:type="spellEnd"/>
            <w:r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Nagwkitablic"/>
              <w:rPr>
                <w:b/>
                <w:szCs w:val="24"/>
                <w:lang w:val="pl-PL" w:eastAsia="en-US"/>
              </w:rPr>
            </w:pPr>
            <w:r>
              <w:rPr>
                <w:b/>
                <w:szCs w:val="24"/>
                <w:lang w:val="pl-PL" w:eastAsia="en-US"/>
              </w:rPr>
              <w:t>Liczba pkt ECTS</w:t>
            </w:r>
          </w:p>
        </w:tc>
      </w:tr>
      <w:tr w:rsidR="00C270D1" w:rsidTr="00C270D1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D1" w:rsidRDefault="00C270D1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punkty</w:t>
            </w:r>
          </w:p>
        </w:tc>
      </w:tr>
    </w:tbl>
    <w:p w:rsidR="00C270D1" w:rsidRDefault="00C270D1" w:rsidP="00C270D1">
      <w:pPr>
        <w:pStyle w:val="Podpunkty"/>
        <w:rPr>
          <w:sz w:val="24"/>
          <w:szCs w:val="24"/>
          <w:lang w:eastAsia="en-US"/>
        </w:rPr>
      </w:pPr>
    </w:p>
    <w:p w:rsidR="00C270D1" w:rsidRDefault="00C270D1" w:rsidP="00C270D1">
      <w:pPr>
        <w:pStyle w:val="Punktygwne"/>
        <w:spacing w:before="0" w:after="0"/>
        <w:rPr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szCs w:val="24"/>
        </w:rPr>
        <w:t xml:space="preserve">1.3.  Sposób realizacji zajęć  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rFonts w:eastAsia="MS Gothic"/>
          <w:b w:val="0"/>
          <w:szCs w:val="24"/>
        </w:rPr>
        <w:t xml:space="preserve">× </w:t>
      </w:r>
      <w:r>
        <w:rPr>
          <w:b w:val="0"/>
          <w:szCs w:val="24"/>
        </w:rPr>
        <w:t xml:space="preserve">zajęcia w formie tradycyjnej 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rFonts w:eastAsia="MS Gothic" w:hAnsi="MS Gothic" w:hint="eastAsia"/>
          <w:b w:val="0"/>
          <w:szCs w:val="24"/>
        </w:rPr>
        <w:t>☐</w:t>
      </w:r>
      <w:r>
        <w:rPr>
          <w:b w:val="0"/>
          <w:szCs w:val="24"/>
        </w:rPr>
        <w:t xml:space="preserve"> zajęcia realizowane z wykorzystaniem metod i technik kształcenia na odległość</w:t>
      </w:r>
    </w:p>
    <w:p w:rsidR="00C270D1" w:rsidRDefault="00C270D1" w:rsidP="00C270D1">
      <w:pPr>
        <w:pStyle w:val="Punktygwne"/>
        <w:spacing w:before="0" w:after="0"/>
        <w:rPr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szCs w:val="24"/>
        </w:rPr>
        <w:t>1.4. Forma zaliczenia przedmiotu/ modułu</w:t>
      </w:r>
      <w:r>
        <w:rPr>
          <w:b w:val="0"/>
          <w:szCs w:val="24"/>
        </w:rPr>
        <w:t xml:space="preserve"> (z toku)</w:t>
      </w:r>
      <w:r>
        <w:rPr>
          <w:b w:val="0"/>
          <w:i/>
          <w:szCs w:val="24"/>
        </w:rPr>
        <w:t xml:space="preserve"> egzamin, zaliczenie z oceną, zaliczenie bez oceny</w:t>
      </w:r>
      <w:r>
        <w:rPr>
          <w:b w:val="0"/>
          <w:szCs w:val="24"/>
        </w:rPr>
        <w:t>)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Zaliczenie w formie pisemnej lub ustnej. Zaliczenie pisemne zawierać może pytania testowe, otwarte oraz problemy do rozwiązania.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szCs w:val="24"/>
        </w:rPr>
      </w:pPr>
      <w:r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270D1" w:rsidTr="00C270D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40" w:after="4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>Prawo administracyjne, prawo finansów publicznych, elementy prawa bankowego.</w:t>
            </w:r>
          </w:p>
        </w:tc>
      </w:tr>
    </w:tbl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numPr>
          <w:ilvl w:val="0"/>
          <w:numId w:val="2"/>
        </w:numPr>
        <w:spacing w:before="0" w:after="0"/>
        <w:rPr>
          <w:szCs w:val="24"/>
        </w:rPr>
      </w:pPr>
      <w:r>
        <w:rPr>
          <w:szCs w:val="24"/>
        </w:rPr>
        <w:t xml:space="preserve"> cele, efekty kształcenia , treści Programowe i stosowane metody Dydaktyczne</w:t>
      </w:r>
    </w:p>
    <w:p w:rsidR="00C270D1" w:rsidRDefault="00C270D1" w:rsidP="00C270D1">
      <w:pPr>
        <w:pStyle w:val="Punktygwne"/>
        <w:spacing w:before="0" w:after="0"/>
        <w:rPr>
          <w:szCs w:val="24"/>
        </w:rPr>
      </w:pPr>
    </w:p>
    <w:p w:rsidR="00C270D1" w:rsidRDefault="00C270D1" w:rsidP="00C270D1">
      <w:pPr>
        <w:pStyle w:val="Podpunkty"/>
        <w:numPr>
          <w:ilvl w:val="1"/>
          <w:numId w:val="2"/>
        </w:numPr>
        <w:ind w:left="0" w:firstLine="0"/>
        <w:rPr>
          <w:b w:val="0"/>
          <w:i/>
          <w:sz w:val="24"/>
          <w:szCs w:val="24"/>
        </w:rPr>
      </w:pPr>
      <w:r>
        <w:rPr>
          <w:sz w:val="24"/>
          <w:szCs w:val="24"/>
        </w:rPr>
        <w:t xml:space="preserve">Cele przedmiotu/modułu </w:t>
      </w:r>
    </w:p>
    <w:p w:rsidR="00C270D1" w:rsidRDefault="00C270D1" w:rsidP="00C270D1">
      <w:pPr>
        <w:pStyle w:val="Podpunkty"/>
        <w:ind w:left="0"/>
        <w:rPr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8625"/>
      </w:tblGrid>
      <w:tr w:rsidR="00C270D1" w:rsidTr="00C270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 xml:space="preserve">Student ma zapoznać się z instytucjami prawa finansów publicznych ukierunkowanymi na zapewnienie bezpieczeństwa systemu finansowego państwa, objętymi zakresem wykładu. Student ma zrozumieć zagrożenia dla bezpieczeństwa finansowego państwa. </w:t>
            </w:r>
          </w:p>
        </w:tc>
      </w:tr>
      <w:tr w:rsidR="00C270D1" w:rsidTr="00C270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Student ma zrozumieć i dostrzegać wpływ systemu finansowego państwa na inne dziedziny życia społecznego prawa.</w:t>
            </w:r>
          </w:p>
        </w:tc>
      </w:tr>
      <w:tr w:rsidR="00C270D1" w:rsidTr="00C270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Student ma zrozumieć zagrożenia dla bezpieczeństwa finansowego państwa.</w:t>
            </w:r>
          </w:p>
        </w:tc>
      </w:tr>
      <w:tr w:rsidR="00C270D1" w:rsidTr="00C270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C4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D1" w:rsidRDefault="00C270D1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>
              <w:rPr>
                <w:b w:val="0"/>
                <w:sz w:val="24"/>
                <w:szCs w:val="24"/>
                <w:lang w:val="pl-PL"/>
              </w:rPr>
              <w:t>Student ma nabyć umiejętność interpretacji przepisów prawno-finansowych.</w:t>
            </w:r>
          </w:p>
        </w:tc>
      </w:tr>
    </w:tbl>
    <w:p w:rsidR="00C270D1" w:rsidRDefault="00C270D1" w:rsidP="00C270D1">
      <w:pPr>
        <w:pStyle w:val="Punktygwne"/>
        <w:spacing w:before="0" w:after="0"/>
        <w:rPr>
          <w:b w:val="0"/>
          <w:color w:val="FF000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szCs w:val="24"/>
        </w:rPr>
      </w:pPr>
      <w:r>
        <w:rPr>
          <w:b w:val="0"/>
          <w:szCs w:val="24"/>
        </w:rPr>
        <w:t xml:space="preserve">3.2  </w:t>
      </w:r>
      <w:r>
        <w:rPr>
          <w:szCs w:val="24"/>
        </w:rPr>
        <w:t>Efekty kształcenia dla przedmiotu/Modułu  (</w:t>
      </w:r>
      <w:r>
        <w:rPr>
          <w:i/>
          <w:szCs w:val="24"/>
        </w:rPr>
        <w:t>wypełnia koordynator</w:t>
      </w:r>
      <w:r>
        <w:rPr>
          <w:szCs w:val="24"/>
        </w:rPr>
        <w:t>)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641"/>
        <w:gridCol w:w="1861"/>
      </w:tblGrid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szCs w:val="24"/>
              </w:rPr>
              <w:t>EK</w:t>
            </w:r>
            <w:r>
              <w:rPr>
                <w:b w:val="0"/>
                <w:szCs w:val="24"/>
              </w:rPr>
              <w:t xml:space="preserve"> (efekt kształcenia)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Odniesienie do efektów  kierunkowych </w:t>
            </w:r>
            <w:r>
              <w:rPr>
                <w:szCs w:val="24"/>
              </w:rPr>
              <w:t>(KEK)</w:t>
            </w: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>
              <w:rPr>
                <w:b w:val="0"/>
                <w:szCs w:val="24"/>
              </w:rPr>
              <w:softHyphen/>
              <w:t>_01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Definiuje podstawowe pojęcia bezpieczeństwa systemu finansowego państwa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K_W05+++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Wskazuje źródła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K_W01+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Rozpoznaje instytucje zapewniające bezpieczeństwo finansowe państwa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K_W02+, K_W11+, K_W13+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Analizuje treść przepisów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K_U01+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Dokonuje wykładni przepisów prawa finansów 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K_U03+, K_U04+</w:t>
            </w:r>
          </w:p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Rozpoznaje i rozwiązuje podstawowe problemy prawne (kazusy)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K_U05++, K_U06+</w:t>
            </w: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Opisuje nadzór nad instytucjami finansowymi w Polsce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K_U02+</w:t>
            </w:r>
          </w:p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EK_08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Prawidłowo identyfikuje problemy bezpieczeństwa systemu finansowego państwa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EK_09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Kwalifikuje stan faktyczny pod konkretne przepisy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>Dostrzega zjawisko dynamiki zmian w systemie finansowym i wynikających z tego zagrożeń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K_K03+</w:t>
            </w:r>
          </w:p>
        </w:tc>
      </w:tr>
      <w:tr w:rsidR="00C270D1" w:rsidTr="00C270D1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EK_11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rFonts w:eastAsia="Cambria"/>
                <w:b w:val="0"/>
                <w:szCs w:val="24"/>
              </w:rPr>
            </w:pPr>
            <w:r>
              <w:rPr>
                <w:rFonts w:eastAsia="Cambria"/>
                <w:b w:val="0"/>
                <w:szCs w:val="24"/>
              </w:rPr>
              <w:t xml:space="preserve">Ma świadomość wpływu sytuacji systemu finansowego na regulacje prawa finansów </w:t>
            </w:r>
            <w:r>
              <w:rPr>
                <w:rFonts w:eastAsia="Cambria"/>
                <w:b w:val="0"/>
                <w:szCs w:val="24"/>
              </w:rPr>
              <w:lastRenderedPageBreak/>
              <w:t>publicznych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K_K06+</w:t>
            </w:r>
          </w:p>
          <w:p w:rsidR="00C270D1" w:rsidRDefault="00C270D1">
            <w:pPr>
              <w:spacing w:after="0" w:line="240" w:lineRule="auto"/>
              <w:ind w:left="36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</w:tbl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TREŚCI PROGRAMOWE (</w:t>
      </w:r>
      <w:r>
        <w:rPr>
          <w:rFonts w:ascii="Times New Roman" w:hAnsi="Times New Roman"/>
          <w:b/>
          <w:i/>
          <w:sz w:val="24"/>
          <w:szCs w:val="24"/>
        </w:rPr>
        <w:t>wypełnia koordynator)</w:t>
      </w:r>
    </w:p>
    <w:p w:rsidR="00C270D1" w:rsidRDefault="00C270D1" w:rsidP="00C270D1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3"/>
        <w:gridCol w:w="1771"/>
      </w:tblGrid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Ilość godz.</w:t>
            </w: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Pojęcie bezpieczeństwa systemu finansowego państwa, zakres instytucji prawa finansowego związanych z bezpieczeństwem finansowym państwa </w:t>
            </w: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 2 godz.</w:t>
            </w: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Nadzór nad instytucjami finansowymi w Polsce; rola Komisji Nadzoru Finansowego, Narodowego Banku Polskiego, Bankowego Funduszu Gwarancyjnego 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3 godz.</w:t>
            </w:r>
          </w:p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Przeciwdziałanie zjawisku prania pieniędzy oraz finansowania terroryzmu </w:t>
            </w:r>
          </w:p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2 godz.</w:t>
            </w: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 xml:space="preserve">Audyt i kontrola finansowa w jednostkach sektora finansów publicznych </w:t>
            </w:r>
          </w:p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2 godz.</w:t>
            </w: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Dyscyplina finansów publicznych i zasady odpowiedzialności za jej za naruszenie</w:t>
            </w: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3 godz.</w:t>
            </w: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Bezpieczeństwo rynków finansowych - regulacje europejskie rynków finansowych, kierunki zmian </w:t>
            </w: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 3 godz.</w:t>
            </w:r>
          </w:p>
        </w:tc>
      </w:tr>
      <w:tr w:rsidR="00C270D1" w:rsidTr="00C270D1"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Razem: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0" w:line="240" w:lineRule="auto"/>
              <w:ind w:left="0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   15 godz.</w:t>
            </w:r>
          </w:p>
        </w:tc>
      </w:tr>
    </w:tbl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numPr>
          <w:ilvl w:val="1"/>
          <w:numId w:val="3"/>
        </w:numPr>
        <w:spacing w:before="0" w:after="0"/>
        <w:rPr>
          <w:b w:val="0"/>
          <w:color w:val="FF0000"/>
          <w:szCs w:val="24"/>
        </w:rPr>
      </w:pPr>
      <w:r>
        <w:rPr>
          <w:szCs w:val="24"/>
        </w:rPr>
        <w:t>METODY DYDAKTYCZNE</w:t>
      </w:r>
      <w:r>
        <w:rPr>
          <w:b w:val="0"/>
          <w:szCs w:val="24"/>
        </w:rPr>
        <w:t xml:space="preserve"> 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Wykład z prezentacją multimedialną, analiza i interpretacja tekstów źródłowych, analiza przypadków.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numPr>
          <w:ilvl w:val="0"/>
          <w:numId w:val="3"/>
        </w:numPr>
        <w:spacing w:before="0" w:after="0"/>
        <w:rPr>
          <w:szCs w:val="24"/>
        </w:rPr>
      </w:pPr>
      <w:r>
        <w:rPr>
          <w:szCs w:val="24"/>
        </w:rPr>
        <w:t>METODY I KRYTERIA OCENY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  <w:r>
        <w:rPr>
          <w:b w:val="0"/>
          <w:szCs w:val="24"/>
        </w:rPr>
        <w:t>4.1 Sposoby weryfikacji efektów kształcenia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704"/>
        <w:gridCol w:w="2181"/>
      </w:tblGrid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Symbol efektu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Metody oceny efektów kształcenia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Forma zajęć dydaktycznych (w, </w:t>
            </w:r>
            <w:proofErr w:type="spellStart"/>
            <w:r>
              <w:rPr>
                <w:b w:val="0"/>
                <w:szCs w:val="24"/>
              </w:rPr>
              <w:t>ćw</w:t>
            </w:r>
            <w:proofErr w:type="spellEnd"/>
            <w:r>
              <w:rPr>
                <w:b w:val="0"/>
                <w:szCs w:val="24"/>
              </w:rPr>
              <w:t>, …)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>
              <w:rPr>
                <w:b w:val="0"/>
                <w:szCs w:val="24"/>
              </w:rPr>
              <w:softHyphen/>
              <w:t>_01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Zaliczenie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EK_09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EK_10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  <w:tr w:rsidR="00C270D1" w:rsidTr="00C270D1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EK_11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Zaliczenie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</w:t>
            </w:r>
          </w:p>
        </w:tc>
      </w:tr>
    </w:tbl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rPr>
          <w:b w:val="0"/>
          <w:color w:val="00B050"/>
          <w:szCs w:val="24"/>
        </w:rPr>
      </w:pPr>
      <w:r>
        <w:rPr>
          <w:b w:val="0"/>
          <w:szCs w:val="24"/>
        </w:rPr>
        <w:t xml:space="preserve">4.2  Warunki zaliczenia przedmiotu </w:t>
      </w:r>
      <w:r>
        <w:rPr>
          <w:b w:val="0"/>
          <w:color w:val="000000"/>
          <w:szCs w:val="24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270D1" w:rsidTr="00C270D1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after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Wynik zaliczenia ustalany na podstawie pisemnych odpowiedzi studentów, gdzie ocena pozytywna osiągana jest przy min. 50% poprawnych odpowiedzi.</w:t>
            </w: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 przypadku egzaminu ustnego – 3 pytania zadane przez egzaminatora. Warunkiem uzyskania zaliczenia jest udzielenie poprawnej odpowiedzi na dwa pytania.</w:t>
            </w:r>
          </w:p>
          <w:p w:rsidR="00C270D1" w:rsidRDefault="00C270D1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Kryteria oceny: kompletność odpowiedzi, poprawna terminologia, aktualny stan prawny.</w:t>
            </w:r>
          </w:p>
          <w:p w:rsidR="00C270D1" w:rsidRDefault="00C270D1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</w:p>
        </w:tc>
      </w:tr>
    </w:tbl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ind w:left="284" w:hanging="284"/>
        <w:rPr>
          <w:b w:val="0"/>
          <w:i/>
          <w:color w:val="FF0000"/>
          <w:szCs w:val="24"/>
        </w:rPr>
      </w:pPr>
      <w:r>
        <w:rPr>
          <w:szCs w:val="24"/>
        </w:rPr>
        <w:t>5. Całkowity nakład pracy studenta potrzebny do osiągnięcia założonych efektów w godzinach oraz punktach ECTS</w:t>
      </w:r>
    </w:p>
    <w:p w:rsidR="00C270D1" w:rsidRDefault="00C270D1" w:rsidP="00C270D1">
      <w:pPr>
        <w:pStyle w:val="Punktygwne"/>
        <w:spacing w:before="0" w:after="0"/>
        <w:rPr>
          <w:b w:val="0"/>
          <w:i/>
          <w:color w:val="FF0000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Aktywność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godzin/ nakład pracy studenta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godziny zajęć wg planu z nauczycielem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Wykład: 15 godz.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zajęć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czas na napisanie referatu/eseju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egzaminu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zaliczenia: 55 godz.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egzaminie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zaliczeniu – 1 godz.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(jakie?)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Razem: 76 godz.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punkty ECTS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pkt ECTS w ramach zajęć powiązanych z praktycznym przygotowaniem zawodowym</w:t>
            </w:r>
          </w:p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obowiązuje od roku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akad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 2017/2018</w:t>
            </w:r>
          </w:p>
        </w:tc>
      </w:tr>
      <w:tr w:rsidR="00C270D1" w:rsidTr="00C270D1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Liczba pkt ECTS w ramach zajęć służących zdobywaniu pogłębionej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wiedzy i umiejętności prowadzenia badań nauk.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obowiązuje od roku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akad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 2017/2018</w:t>
            </w:r>
          </w:p>
        </w:tc>
      </w:tr>
    </w:tbl>
    <w:p w:rsidR="00C270D1" w:rsidRDefault="00C270D1" w:rsidP="00C270D1">
      <w:pPr>
        <w:pStyle w:val="Punktygwne"/>
        <w:spacing w:after="0"/>
        <w:rPr>
          <w:b w:val="0"/>
          <w:szCs w:val="24"/>
        </w:rPr>
      </w:pPr>
      <w:r>
        <w:rPr>
          <w:b w:val="0"/>
          <w:szCs w:val="24"/>
        </w:rPr>
        <w:t>Nakład pracy związany z zajęciami wymagającymi bezpośredniego udziału nauczycieli akademickich wynosi:    15+1= 16 godz. co odpowiada ok. 1 punktowi ECTS</w:t>
      </w:r>
    </w:p>
    <w:p w:rsidR="00C270D1" w:rsidRDefault="00C270D1" w:rsidP="00C270D1">
      <w:pPr>
        <w:pStyle w:val="Punktygwne"/>
        <w:spacing w:before="0" w:after="0"/>
        <w:rPr>
          <w:b w:val="0"/>
          <w:szCs w:val="24"/>
        </w:rPr>
      </w:pPr>
    </w:p>
    <w:p w:rsidR="00C270D1" w:rsidRDefault="00C270D1" w:rsidP="00C270D1">
      <w:pPr>
        <w:pStyle w:val="Punktygwne"/>
        <w:numPr>
          <w:ilvl w:val="0"/>
          <w:numId w:val="5"/>
        </w:numPr>
        <w:spacing w:before="0" w:after="0"/>
        <w:rPr>
          <w:szCs w:val="24"/>
        </w:rPr>
      </w:pPr>
      <w:r>
        <w:rPr>
          <w:szCs w:val="24"/>
        </w:rPr>
        <w:t>PRAKTYKI ZAWODOWE W RAMACH PRZEDMIOTU/ MODUŁU</w:t>
      </w:r>
    </w:p>
    <w:p w:rsidR="00C270D1" w:rsidRDefault="00C270D1" w:rsidP="00C270D1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270D1" w:rsidTr="00C270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before="0" w:after="0"/>
              <w:rPr>
                <w:b w:val="0"/>
                <w:i/>
                <w:color w:val="FF0000"/>
                <w:szCs w:val="24"/>
              </w:rPr>
            </w:pPr>
          </w:p>
        </w:tc>
      </w:tr>
      <w:tr w:rsidR="00C270D1" w:rsidTr="00C270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before="0" w:after="0"/>
              <w:rPr>
                <w:b w:val="0"/>
                <w:i/>
                <w:szCs w:val="24"/>
              </w:rPr>
            </w:pPr>
          </w:p>
        </w:tc>
      </w:tr>
    </w:tbl>
    <w:p w:rsidR="00C270D1" w:rsidRDefault="00C270D1" w:rsidP="00C270D1">
      <w:pPr>
        <w:pStyle w:val="Punktygwne"/>
        <w:spacing w:before="0" w:after="0"/>
        <w:ind w:left="360"/>
        <w:rPr>
          <w:b w:val="0"/>
          <w:szCs w:val="24"/>
        </w:rPr>
      </w:pPr>
    </w:p>
    <w:p w:rsidR="00C270D1" w:rsidRDefault="00C270D1" w:rsidP="00C270D1">
      <w:pPr>
        <w:pStyle w:val="Punktygwne"/>
        <w:numPr>
          <w:ilvl w:val="0"/>
          <w:numId w:val="5"/>
        </w:numPr>
        <w:spacing w:before="0" w:after="0"/>
        <w:rPr>
          <w:szCs w:val="24"/>
        </w:rPr>
      </w:pPr>
      <w:r>
        <w:rPr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70D1" w:rsidTr="00C270D1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before="0" w:after="0"/>
              <w:rPr>
                <w:b w:val="0"/>
                <w:color w:val="FF0000"/>
                <w:szCs w:val="24"/>
              </w:rPr>
            </w:pPr>
            <w:r>
              <w:rPr>
                <w:b w:val="0"/>
                <w:szCs w:val="24"/>
              </w:rPr>
              <w:t>Literatura podstawowa:</w:t>
            </w:r>
          </w:p>
          <w:p w:rsidR="0088730C" w:rsidRDefault="0088730C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Brzeziński</w:t>
            </w:r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B. (red.)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, Olesińs</w:t>
            </w:r>
            <w:r w:rsidR="008079E8">
              <w:rPr>
                <w:rFonts w:ascii="Times New Roman" w:eastAsia="Cambria" w:hAnsi="Times New Roman"/>
                <w:b/>
                <w:sz w:val="24"/>
                <w:szCs w:val="24"/>
              </w:rPr>
              <w:t>ka</w:t>
            </w:r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A. (red.)</w:t>
            </w:r>
            <w:r w:rsidR="008079E8">
              <w:rPr>
                <w:rFonts w:ascii="Times New Roman" w:eastAsia="Cambria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Prawo finansów publicznych</w:t>
            </w:r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>,</w:t>
            </w:r>
            <w:r w:rsidR="008079E8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Toruń 2017</w:t>
            </w:r>
          </w:p>
          <w:p w:rsidR="00C270D1" w:rsidRDefault="008079E8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Driwłło</w:t>
            </w:r>
            <w:proofErr w:type="spellEnd"/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A.</w:t>
            </w:r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(red.)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, Jurkowska-</w:t>
            </w:r>
            <w:proofErr w:type="spellStart"/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Zeidler</w:t>
            </w:r>
            <w:proofErr w:type="spellEnd"/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A. </w:t>
            </w:r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>(red.)</w:t>
            </w:r>
            <w:r w:rsidR="00C270D1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System prawnofinansowy</w:t>
            </w:r>
            <w:r w:rsidR="00C270D1"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Unii Europejskiej</w:t>
            </w:r>
            <w:r w:rsidR="00C270D1">
              <w:rPr>
                <w:rFonts w:ascii="Times New Roman" w:eastAsia="Cambria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Warszawa 2016</w:t>
            </w:r>
          </w:p>
          <w:p w:rsidR="00C270D1" w:rsidRDefault="00C270D1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Bojkowski</w:t>
            </w:r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T.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Dyscyplina finansów publicznych - zasady odpowiedzialności, problemy orzecznicze</w:t>
            </w:r>
            <w:r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mbria" w:hAnsi="Times New Roman"/>
                <w:b/>
                <w:sz w:val="24"/>
                <w:szCs w:val="24"/>
              </w:rPr>
              <w:t>CeDeWu</w:t>
            </w:r>
            <w:proofErr w:type="spellEnd"/>
            <w:r w:rsidR="0088730C">
              <w:rPr>
                <w:rFonts w:ascii="Times New Roman" w:eastAsia="Cambria" w:hAnsi="Times New Roman"/>
                <w:b/>
                <w:sz w:val="24"/>
                <w:szCs w:val="24"/>
              </w:rPr>
              <w:t xml:space="preserve"> 2012</w:t>
            </w:r>
          </w:p>
          <w:bookmarkEnd w:id="0"/>
          <w:p w:rsidR="00C270D1" w:rsidRDefault="00C270D1">
            <w:pPr>
              <w:spacing w:after="0" w:line="240" w:lineRule="auto"/>
              <w:jc w:val="both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</w:tr>
      <w:tr w:rsidR="00C270D1" w:rsidTr="00C270D1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D1" w:rsidRDefault="00C270D1">
            <w:pPr>
              <w:pStyle w:val="Punktygwne"/>
              <w:spacing w:before="0" w:after="0"/>
              <w:rPr>
                <w:b w:val="0"/>
                <w:i/>
                <w:color w:val="FF0000"/>
                <w:szCs w:val="24"/>
              </w:rPr>
            </w:pPr>
            <w:r>
              <w:rPr>
                <w:b w:val="0"/>
                <w:szCs w:val="24"/>
              </w:rPr>
              <w:t xml:space="preserve">Literatura uzupełniająca: 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:rsidR="00C270D1" w:rsidRDefault="00C270D1">
            <w:pPr>
              <w:pStyle w:val="Tekstprzypisudolneg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Kosikowski</w:t>
            </w:r>
            <w:r w:rsidR="00C27ED5">
              <w:rPr>
                <w:b/>
                <w:sz w:val="24"/>
                <w:szCs w:val="24"/>
              </w:rPr>
              <w:t xml:space="preserve"> C.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i/>
                <w:sz w:val="24"/>
                <w:szCs w:val="24"/>
              </w:rPr>
              <w:t>Finanse i prawo finansowe Unii Europejskiej</w:t>
            </w:r>
            <w:r w:rsidR="0088730C">
              <w:rPr>
                <w:b/>
                <w:sz w:val="24"/>
                <w:szCs w:val="24"/>
              </w:rPr>
              <w:t>, Warszawa 2014</w:t>
            </w:r>
          </w:p>
          <w:p w:rsidR="00C270D1" w:rsidRDefault="008079E8">
            <w:pPr>
              <w:pStyle w:val="Punktygwne"/>
              <w:spacing w:before="0" w:after="0"/>
              <w:rPr>
                <w:szCs w:val="24"/>
              </w:rPr>
            </w:pPr>
            <w:proofErr w:type="spellStart"/>
            <w:r>
              <w:rPr>
                <w:szCs w:val="24"/>
              </w:rPr>
              <w:t>wantoch-rekowski</w:t>
            </w:r>
            <w:proofErr w:type="spellEnd"/>
            <w:r w:rsidR="00C27ED5">
              <w:rPr>
                <w:szCs w:val="24"/>
              </w:rPr>
              <w:t xml:space="preserve"> J.</w:t>
            </w:r>
            <w:r w:rsidR="00C270D1">
              <w:rPr>
                <w:szCs w:val="24"/>
              </w:rPr>
              <w:t xml:space="preserve">, </w:t>
            </w:r>
            <w:r>
              <w:rPr>
                <w:i/>
                <w:szCs w:val="24"/>
              </w:rPr>
              <w:t>Prawo</w:t>
            </w:r>
            <w:r w:rsidR="00C270D1">
              <w:rPr>
                <w:i/>
                <w:szCs w:val="24"/>
              </w:rPr>
              <w:t xml:space="preserve"> finansów publicznych</w:t>
            </w:r>
            <w:r>
              <w:rPr>
                <w:i/>
                <w:szCs w:val="24"/>
              </w:rPr>
              <w:t xml:space="preserve"> – materiały do ćwiczeń</w:t>
            </w:r>
            <w:r w:rsidR="00C270D1">
              <w:rPr>
                <w:i/>
                <w:szCs w:val="24"/>
              </w:rPr>
              <w:t xml:space="preserve">, </w:t>
            </w:r>
            <w:r>
              <w:rPr>
                <w:szCs w:val="24"/>
              </w:rPr>
              <w:t>Warszawa 2015</w:t>
            </w:r>
          </w:p>
          <w:p w:rsidR="00C270D1" w:rsidRDefault="00C270D1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  </w:t>
            </w:r>
          </w:p>
        </w:tc>
      </w:tr>
    </w:tbl>
    <w:p w:rsidR="00C270D1" w:rsidRDefault="00C270D1" w:rsidP="00C270D1">
      <w:pPr>
        <w:pStyle w:val="Punktygwne"/>
        <w:spacing w:before="0" w:after="0"/>
        <w:ind w:left="36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ind w:left="360"/>
        <w:rPr>
          <w:b w:val="0"/>
          <w:szCs w:val="24"/>
        </w:rPr>
      </w:pPr>
    </w:p>
    <w:p w:rsidR="00C270D1" w:rsidRDefault="00C270D1" w:rsidP="00C270D1">
      <w:pPr>
        <w:pStyle w:val="Punktygwne"/>
        <w:spacing w:before="0" w:after="0"/>
        <w:ind w:left="360"/>
        <w:rPr>
          <w:b w:val="0"/>
          <w:szCs w:val="24"/>
        </w:rPr>
      </w:pPr>
      <w:r>
        <w:rPr>
          <w:b w:val="0"/>
          <w:szCs w:val="24"/>
        </w:rPr>
        <w:t>Akceptacja Kierownika Jednostki lub osoby upoważnionej</w:t>
      </w:r>
    </w:p>
    <w:p w:rsidR="00C270D1" w:rsidRDefault="00C270D1" w:rsidP="00C270D1">
      <w:pPr>
        <w:rPr>
          <w:rFonts w:ascii="Times New Roman" w:hAnsi="Times New Roman"/>
          <w:sz w:val="24"/>
          <w:szCs w:val="24"/>
        </w:rPr>
      </w:pPr>
    </w:p>
    <w:p w:rsidR="00C270D1" w:rsidRDefault="00C270D1" w:rsidP="00C270D1">
      <w:pPr>
        <w:rPr>
          <w:rFonts w:ascii="Times New Roman" w:hAnsi="Times New Roman"/>
          <w:sz w:val="24"/>
          <w:szCs w:val="24"/>
        </w:rPr>
      </w:pPr>
    </w:p>
    <w:p w:rsidR="00C270D1" w:rsidRDefault="00C270D1" w:rsidP="00C270D1">
      <w:pPr>
        <w:rPr>
          <w:rFonts w:ascii="Times New Roman" w:hAnsi="Times New Roman"/>
          <w:sz w:val="24"/>
          <w:szCs w:val="24"/>
        </w:rPr>
      </w:pPr>
    </w:p>
    <w:p w:rsidR="00C270D1" w:rsidRDefault="00C270D1" w:rsidP="00C270D1">
      <w:pPr>
        <w:rPr>
          <w:rFonts w:ascii="Times New Roman" w:hAnsi="Times New Roman"/>
          <w:sz w:val="24"/>
          <w:szCs w:val="24"/>
        </w:rPr>
      </w:pPr>
    </w:p>
    <w:p w:rsidR="00996F25" w:rsidRDefault="00996F25"/>
    <w:sectPr w:rsidR="00996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D1"/>
    <w:rsid w:val="008079E8"/>
    <w:rsid w:val="0088730C"/>
    <w:rsid w:val="00996F25"/>
    <w:rsid w:val="00C270D1"/>
    <w:rsid w:val="00C2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69B3F-182C-4A8E-8D41-8D4762E3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70D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C270D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70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70D1"/>
    <w:pPr>
      <w:ind w:left="720"/>
      <w:contextualSpacing/>
    </w:pPr>
  </w:style>
  <w:style w:type="paragraph" w:customStyle="1" w:styleId="Punktygwne">
    <w:name w:val="Punkty główne"/>
    <w:basedOn w:val="Normalny"/>
    <w:rsid w:val="00C27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270D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C27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270D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C270D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C270D1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C270D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7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70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3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Majka</cp:lastModifiedBy>
  <cp:revision>5</cp:revision>
  <dcterms:created xsi:type="dcterms:W3CDTF">2017-02-22T08:15:00Z</dcterms:created>
  <dcterms:modified xsi:type="dcterms:W3CDTF">2017-03-25T19:12:00Z</dcterms:modified>
</cp:coreProperties>
</file>